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26-184</w:t>
      </w:r>
    </w:p>
    <w:p>
      <w:pPr>
        <w:spacing w:before="0" w:after="0" w:line="480"/>
        <w:ind w:left="120"/>
        <w:jc w:val="left"/>
      </w:pPr>
    </w:p>
    <w:p>
      <w:pPr>
        <w:spacing w:before="0" w:after="0" w:line="480"/>
        <w:ind w:left="120"/>
        <w:jc w:val="center"/>
      </w:pPr>
      <w:r>
        <w:rPr>
          <w:rFonts w:ascii="Times New Roman" w:hAnsi="Times New Roman"/>
          <w:b/>
          <w:i w:val="false"/>
          <w:color w:val="000000"/>
          <w:sz w:val="28"/>
        </w:rPr>
        <w:t>TRANSPORTATION DEPARTMENT[761]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761—Chapter 601</w:t>
      </w:r>
    </w:p>
    <w:p>
      <w:pPr>
        <w:spacing w:before="0" w:after="0" w:line="480"/>
        <w:ind w:left="120"/>
        <w:jc w:val="center"/>
      </w:pPr>
      <w:r>
        <w:rPr>
          <w:rFonts w:ascii="Times New Roman" w:hAnsi="Times New Roman"/>
          <w:b w:val="false"/>
          <w:i w:val="false"/>
          <w:color w:val="000000"/>
          <w:sz w:val="24"/>
        </w:rPr>
        <w:t>“Application for License”</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307.12(1)“j,” 321.182 and 321.195</w:t>
      </w:r>
    </w:p>
    <w:p>
      <w:pPr>
        <w:spacing w:before="0" w:after="0" w:line="480"/>
        <w:ind w:left="120"/>
        <w:jc w:val="both"/>
      </w:pPr>
      <w:r>
        <w:rPr>
          <w:rFonts w:ascii="Times New Roman" w:hAnsi="Times New Roman"/>
          <w:b w:val="false"/>
          <w:i w:val="false"/>
          <w:color w:val="000000"/>
          <w:sz w:val="24"/>
        </w:rPr>
        <w:t>State or federal law(s) implemented by the rulemaking: Iowa Code sections 321.182, 321.184 and 321.195</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August 13, 2026</w:t>
            </w:r>
            <w:r>
              <w:br/>
            </w:r>
            <w:r>
              <w:rPr>
                <w:rFonts w:ascii="Times New Roman" w:hAnsi="Times New Roman"/>
                <w:b w:val="false"/>
                <w:i w:val="false"/>
                <w:color w:val="000000"/>
                <w:sz w:val="14"/>
              </w:rPr>
              <w:t>2 to 2:30 p.m.</w:t>
            </w:r>
          </w:p>
        </w:tc>
        <w:tc>
          <w:tcPr>
            <w:tcW w:w="5632" w:type="dxa"/>
            <w:tcBorders/>
            <w:tcMar>
              <w:top w:w="30" w:type="dxa"/>
              <w:left w:w="30" w:type="dxa"/>
              <w:bottom w:w="15" w:type="dxa"/>
              <w:right w:w="30" w:type="dxa"/>
            </w:tcMar>
            <w:vAlign w:val="top"/>
          </w:tcPr>
          <w:p>
            <w:pPr>
              <w:spacing w:before="0" w:after="0" w:line="264"/>
              <w:ind w:left="0"/>
              <w:jc w:val="left"/>
            </w:pPr>
            <w:hyperlink r:id="rId4">
              <w:r>
                <w:rPr>
                  <w:rStyle w:val="Hyperlink"/>
                  <w:rFonts w:ascii="Times New Roman" w:hAnsi="Times New Roman"/>
                  <w:b w:val="false"/>
                  <w:i w:val="false"/>
                  <w:color w:val="0000ff"/>
                  <w:sz w:val="14"/>
                </w:rPr>
                <w:t>Microsoft Teams</w:t>
              </w:r>
            </w:hyperlink>
            <w:r>
              <w:br/>
            </w:r>
            <w:r>
              <w:rPr>
                <w:rFonts w:ascii="Times New Roman" w:hAnsi="Times New Roman"/>
                <w:b w:val="false"/>
                <w:i w:val="false"/>
                <w:color w:val="000000"/>
                <w:sz w:val="14"/>
              </w:rPr>
              <w:t>Or dial: 515.817.6093</w:t>
            </w:r>
            <w:r>
              <w:br/>
            </w:r>
            <w:r>
              <w:rPr>
                <w:rFonts w:ascii="Times New Roman" w:hAnsi="Times New Roman"/>
                <w:b w:val="false"/>
                <w:i w:val="false"/>
                <w:color w:val="000000"/>
                <w:sz w:val="14"/>
              </w:rPr>
              <w:t>Conference ID: 948 720 783#</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Department of Transportation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645"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Sara Siedsma</w:t>
            </w:r>
            <w:r>
              <w:br/>
            </w:r>
            <w:r>
              <w:rPr>
                <w:rFonts w:ascii="Times New Roman" w:hAnsi="Times New Roman"/>
                <w:b w:val="false"/>
                <w:i w:val="false"/>
                <w:color w:val="000000"/>
                <w:sz w:val="14"/>
              </w:rPr>
              <w:t>6310 SE Convenience Boulevard</w:t>
            </w:r>
            <w:r>
              <w:br/>
            </w:r>
            <w:r>
              <w:rPr>
                <w:rFonts w:ascii="Times New Roman" w:hAnsi="Times New Roman"/>
                <w:b w:val="false"/>
                <w:i w:val="false"/>
                <w:color w:val="000000"/>
                <w:sz w:val="14"/>
              </w:rPr>
              <w:t>Ankeny, Iowa 50021</w:t>
            </w:r>
            <w:r>
              <w:br/>
            </w:r>
            <w:r>
              <w:rPr>
                <w:rFonts w:ascii="Times New Roman" w:hAnsi="Times New Roman"/>
                <w:b w:val="false"/>
                <w:i w:val="false"/>
                <w:color w:val="000000"/>
                <w:sz w:val="14"/>
              </w:rPr>
              <w:t xml:space="preserve">Email: </w:t>
            </w:r>
            <w:hyperlink r:id="rId5">
              <w:r>
                <w:rPr>
                  <w:rStyle w:val="Hyperlink"/>
                  <w:rFonts w:ascii="Times New Roman" w:hAnsi="Times New Roman"/>
                  <w:b w:val="false"/>
                  <w:i w:val="false"/>
                  <w:color w:val="0000ff"/>
                  <w:sz w:val="14"/>
                </w:rPr>
                <w:t>sara.siedsma@iowadot.us</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purpose of the proposed amendments is to align the rules with 2026 Iowa Acts, Senate Files 2088 and 2187, which, respectively, amend the Iowa Code to authorize the Department to provide electronic driver’s license replacement services through its new information technology (IT) system and to accept certain documents submitted electronically and require verification of United States citizenship and lawful status in the United States as a condition of driver’s license and nonoperator’s identification card issuance and renewal. The proposed amendments also make technical citation changes throughout the chapter.</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There are no costs or fees associated with this proposed rulemaking beyond those of the underlying statutes.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Persons seeking to obtain a driver’s license or nonoperator’s identification card will benefit from the administrative rules being in compliance with the underlying statutes.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There are no quantitative impacts beyond those of the underlying statutes.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There are no qualitative impacts beyond those of the underlying statutes.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There are no implementation or enforcement costs beyond those of the underlying statutes.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are no anticipated effects on State revenues beyond those of the underlying statutes.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There is no benefit of inaction. The amendments are required to conform with the underlying statutes.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There are no less costly or less intrusive methods to achieve the purpose of the proposed amendments, which is compliance with the underlying statutes.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The Department did not consider alternatives for the proposed amendments.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These proposed amendments have no impact on small business beyond that of the underlying statutes.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601.2(7)</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601.2(7)</w:t>
      </w:r>
      <w:r>
        <w:rPr>
          <w:rFonts w:ascii="Times New Roman" w:hAnsi="Times New Roman"/>
          <w:b w:val="false"/>
          <w:i w:val="false"/>
          <w:color w:val="000000"/>
          <w:sz w:val="24"/>
        </w:rPr>
        <w:t> </w:t>
      </w:r>
      <w:r>
        <w:rPr>
          <w:rFonts w:ascii="Times New Roman" w:hAnsi="Times New Roman"/>
          <w:b w:val="false"/>
          <w:i/>
          <w:color w:val="000000"/>
          <w:sz w:val="24"/>
        </w:rPr>
        <w:t xml:space="preserve">Surrender of license and nonoperator’s identification card. </w:t>
      </w:r>
      <w:r>
        <w:rPr>
          <w:rFonts w:ascii="Times New Roman" w:hAnsi="Times New Roman"/>
          <w:b w:val="false"/>
          <w:i w:val="false"/>
          <w:color w:val="000000"/>
          <w:sz w:val="24"/>
        </w:rPr>
        <w:t>An applicant for a driver’s license shall surrender all other driver’s licenses and nonoperator’s identification cards. This includes those issued by a state other than Iowa or a foreign jurisdiction unless otherwise provided in a letter of understanding or other written memorialization of reciprocity or understanding. An applicant who renews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or replaces</w:t>
      </w:r>
      <w:r>
        <w:rPr>
          <w:rFonts w:ascii="Times New Roman" w:hAnsi="Times New Roman"/>
          <w:b w:val="false"/>
          <w:i w:val="false"/>
          <w:color w:val="000000"/>
          <w:sz w:val="24"/>
        </w:rPr>
        <w:t xml:space="preserve"> a driver’s license</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or nonoperator’s identification card</w:t>
      </w:r>
      <w:r>
        <w:rPr>
          <w:rFonts w:ascii="Times New Roman" w:hAnsi="Times New Roman"/>
          <w:b w:val="false"/>
          <w:i w:val="false"/>
          <w:color w:val="000000"/>
          <w:sz w:val="24"/>
        </w:rPr>
        <w:t xml:space="preserve"> electronically pursuant to </w:t>
      </w:r>
      <w:hyperlink r:id="rId6">
        <w:r>
          <w:rPr>
            <w:rStyle w:val="Hyperlink"/>
            <w:rFonts w:ascii="Times New Roman" w:hAnsi="Times New Roman"/>
            <w:b w:val="false"/>
            <w:i w:val="false"/>
            <w:strike/>
            <w:color w:val="000000"/>
            <w:sz w:val="24"/>
          </w:rPr>
          <w:t>761—subrule 605.25(7)</w:t>
        </w:r>
      </w:hyperlink>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761—Chapter </w:t>
      </w:r>
      <w:hyperlink r:id="rId7">
        <w:r>
          <w:rPr>
            <w:rStyle w:val="Hyperlink"/>
            <w:rFonts w:ascii="Times New Roman" w:hAnsi="Times New Roman"/>
            <w:b w:val="false"/>
            <w:i w:val="false"/>
            <w:color w:val="000000"/>
            <w:sz w:val="24"/>
            <w:u w:val="single"/>
          </w:rPr>
          <w:t>605</w:t>
        </w:r>
      </w:hyperlink>
      <w:r>
        <w:rPr>
          <w:rFonts w:ascii="Times New Roman" w:hAnsi="Times New Roman"/>
          <w:b w:val="false"/>
          <w:i w:val="false"/>
          <w:color w:val="000000"/>
          <w:sz w:val="24"/>
          <w:u w:val="single"/>
        </w:rPr>
        <w:t xml:space="preserve"> or </w:t>
      </w:r>
      <w:hyperlink r:id="rId8">
        <w:r>
          <w:rPr>
            <w:rStyle w:val="Hyperlink"/>
            <w:rFonts w:ascii="Times New Roman" w:hAnsi="Times New Roman"/>
            <w:b w:val="false"/>
            <w:i w:val="false"/>
            <w:color w:val="000000"/>
            <w:sz w:val="24"/>
            <w:u w:val="single"/>
          </w:rPr>
          <w:t>630</w:t>
        </w:r>
      </w:hyperlink>
      <w:r>
        <w:rPr>
          <w:rFonts w:ascii="Times New Roman" w:hAnsi="Times New Roman"/>
          <w:b w:val="false"/>
          <w:i w:val="false"/>
          <w:color w:val="000000"/>
          <w:sz w:val="24"/>
        </w:rPr>
        <w:t xml:space="preserve"> shall destroy the previous driver’s license</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or nonoperator’s identification card</w:t>
      </w:r>
      <w:r>
        <w:rPr>
          <w:rFonts w:ascii="Times New Roman" w:hAnsi="Times New Roman"/>
          <w:b w:val="false"/>
          <w:i w:val="false"/>
          <w:color w:val="000000"/>
          <w:sz w:val="24"/>
        </w:rPr>
        <w:t xml:space="preserve"> upon receipt of the renewed</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or replaced</w:t>
      </w:r>
      <w:r>
        <w:rPr>
          <w:rFonts w:ascii="Times New Roman" w:hAnsi="Times New Roman"/>
          <w:b w:val="false"/>
          <w:i w:val="false"/>
          <w:color w:val="000000"/>
          <w:sz w:val="24"/>
        </w:rPr>
        <w:t xml:space="preserve"> driver’s license</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or nonoperator’s identification card</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i w:val="false"/>
          <w:color w:val="000000"/>
          <w:sz w:val="24"/>
        </w:rPr>
        <w:t>761—601.2(321,321C)</w:t>
      </w:r>
      <w:r>
        <w:rPr>
          <w:rFonts w:ascii="Times New Roman" w:hAnsi="Times New Roman"/>
          <w:b w:val="false"/>
          <w:i w:val="false"/>
          <w:color w:val="000000"/>
          <w:sz w:val="24"/>
        </w:rPr>
        <w:t>, implementation sentence</w:t>
      </w:r>
      <w:r>
        <w:rPr>
          <w:rFonts w:ascii="Times New Roman" w:hAnsi="Times New Roman"/>
          <w:b w:val="false"/>
          <w:i w:val="false"/>
          <w:color w:val="000000"/>
          <w:sz w:val="24"/>
        </w:rPr>
        <w:t>, as follows:</w:t>
      </w:r>
    </w:p>
    <w:p>
      <w:pPr>
        <w:spacing w:before="0" w:after="0" w:line="480"/>
        <w:ind w:left="120"/>
        <w:jc w:val="left"/>
      </w:pPr>
      <w:r>
        <w:rPr>
          <w:rFonts w:ascii="Times New Roman" w:hAnsi="Times New Roman"/>
          <w:b w:val="false"/>
          <w:i w:val="false"/>
          <w:color w:val="000000"/>
          <w:sz w:val="24"/>
        </w:rPr>
        <w:t xml:space="preserve">This rule is intended to implement Iowa Code sections </w:t>
      </w:r>
      <w:hyperlink r:id="rId9">
        <w:r>
          <w:rPr>
            <w:rStyle w:val="Hyperlink"/>
            <w:rFonts w:ascii="Times New Roman" w:hAnsi="Times New Roman"/>
            <w:b w:val="false"/>
            <w:i w:val="false"/>
            <w:color w:val="000000"/>
            <w:sz w:val="24"/>
          </w:rPr>
          <w:t>321.13</w:t>
        </w:r>
      </w:hyperlink>
      <w:r>
        <w:rPr>
          <w:rFonts w:ascii="Times New Roman" w:hAnsi="Times New Roman"/>
          <w:b w:val="false"/>
          <w:i w:val="false"/>
          <w:color w:val="000000"/>
          <w:sz w:val="24"/>
        </w:rPr>
        <w:t xml:space="preserve">, </w:t>
      </w:r>
      <w:hyperlink r:id="rId10">
        <w:r>
          <w:rPr>
            <w:rStyle w:val="Hyperlink"/>
            <w:rFonts w:ascii="Times New Roman" w:hAnsi="Times New Roman"/>
            <w:b w:val="false"/>
            <w:i w:val="false"/>
            <w:color w:val="000000"/>
            <w:sz w:val="24"/>
          </w:rPr>
          <w:t>321.177</w:t>
        </w:r>
      </w:hyperlink>
      <w:r>
        <w:rPr>
          <w:rFonts w:ascii="Times New Roman" w:hAnsi="Times New Roman"/>
          <w:b w:val="false"/>
          <w:i w:val="false"/>
          <w:color w:val="000000"/>
          <w:sz w:val="24"/>
        </w:rPr>
        <w:t xml:space="preserve">, </w:t>
      </w:r>
      <w:hyperlink r:id="rId11">
        <w:r>
          <w:rPr>
            <w:rStyle w:val="Hyperlink"/>
            <w:rFonts w:ascii="Times New Roman" w:hAnsi="Times New Roman"/>
            <w:b w:val="false"/>
            <w:i w:val="false"/>
            <w:color w:val="000000"/>
            <w:sz w:val="24"/>
          </w:rPr>
          <w:t>321.182</w:t>
        </w:r>
      </w:hyperlink>
      <w:r>
        <w:rPr>
          <w:rFonts w:ascii="Times New Roman" w:hAnsi="Times New Roman"/>
          <w:b w:val="false"/>
          <w:i w:val="false"/>
          <w:color w:val="000000"/>
          <w:sz w:val="24"/>
        </w:rPr>
        <w:t xml:space="preserve">, </w:t>
      </w:r>
      <w:hyperlink r:id="rId12">
        <w:r>
          <w:rPr>
            <w:rStyle w:val="Hyperlink"/>
            <w:rFonts w:ascii="Times New Roman" w:hAnsi="Times New Roman"/>
            <w:b w:val="false"/>
            <w:i w:val="false"/>
            <w:color w:val="000000"/>
            <w:sz w:val="24"/>
          </w:rPr>
          <w:t>321.186</w:t>
        </w:r>
      </w:hyperlink>
      <w:r>
        <w:rPr>
          <w:rFonts w:ascii="Times New Roman" w:hAnsi="Times New Roman"/>
          <w:b w:val="false"/>
          <w:i w:val="false"/>
          <w:color w:val="000000"/>
          <w:sz w:val="24"/>
        </w:rPr>
        <w:t>,</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321.195 as amended by </w:t>
      </w:r>
      <w:r>
        <w:rPr>
          <w:rFonts w:ascii="Times New Roman" w:hAnsi="Times New Roman"/>
          <w:b w:val="false"/>
          <w:i w:val="false"/>
          <w:color w:val="000000"/>
          <w:sz w:val="24"/>
          <w:u w:val="single"/>
        </w:rPr>
        <w:t>2026 Iowa Acts, Senate File 2088</w:t>
      </w:r>
      <w:r>
        <w:rPr>
          <w:rFonts w:ascii="Times New Roman" w:hAnsi="Times New Roman"/>
          <w:b w:val="false"/>
          <w:i w:val="false"/>
          <w:color w:val="000000"/>
          <w:sz w:val="24"/>
          <w:u w:val="single"/>
        </w:rPr>
        <w:t>, section 16,</w:t>
      </w:r>
      <w:r>
        <w:rPr>
          <w:rFonts w:ascii="Times New Roman" w:hAnsi="Times New Roman"/>
          <w:b w:val="false"/>
          <w:i w:val="false"/>
          <w:color w:val="000000"/>
          <w:sz w:val="24"/>
        </w:rPr>
        <w:t xml:space="preserve"> </w:t>
      </w:r>
      <w:hyperlink r:id="rId13">
        <w:r>
          <w:rPr>
            <w:rStyle w:val="Hyperlink"/>
            <w:rFonts w:ascii="Times New Roman" w:hAnsi="Times New Roman"/>
            <w:b w:val="false"/>
            <w:i w:val="false"/>
            <w:color w:val="000000"/>
            <w:sz w:val="24"/>
          </w:rPr>
          <w:t>321.196</w:t>
        </w:r>
      </w:hyperlink>
      <w:r>
        <w:rPr>
          <w:rFonts w:ascii="Times New Roman" w:hAnsi="Times New Roman"/>
          <w:b w:val="false"/>
          <w:i w:val="false"/>
          <w:color w:val="000000"/>
          <w:sz w:val="24"/>
        </w:rPr>
        <w:t xml:space="preserve"> and </w:t>
      </w:r>
      <w:hyperlink r:id="rId14">
        <w:r>
          <w:rPr>
            <w:rStyle w:val="Hyperlink"/>
            <w:rFonts w:ascii="Times New Roman" w:hAnsi="Times New Roman"/>
            <w:b w:val="false"/>
            <w:i w:val="false"/>
            <w:color w:val="000000"/>
            <w:sz w:val="24"/>
          </w:rPr>
          <w:t>321C.1</w:t>
        </w:r>
      </w:hyperlink>
      <w:r>
        <w:rPr>
          <w:rFonts w:ascii="Times New Roman" w:hAnsi="Times New Roman"/>
          <w:b w:val="false"/>
          <w:i w:val="false"/>
          <w:color w:val="000000"/>
          <w:sz w:val="24"/>
        </w:rPr>
        <w:t xml:space="preserve"> and </w:t>
      </w:r>
      <w:r>
        <w:rPr>
          <w:rFonts w:ascii="Times New Roman" w:hAnsi="Times New Roman"/>
          <w:b w:val="false"/>
          <w:i w:val="false"/>
          <w:color w:val="000000"/>
          <w:sz w:val="24"/>
        </w:rPr>
        <w:t>6 CFR Part 37</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 </w:t>
      </w:r>
      <w:r>
        <w:rPr>
          <w:rFonts w:ascii="Times New Roman" w:hAnsi="Times New Roman"/>
          <w:b/>
          <w:i w:val="false"/>
          <w:color w:val="000000"/>
          <w:sz w:val="24"/>
        </w:rPr>
        <w:t>601.4(4)“a”</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If an applicant presents one of the identity documents listed under subrule </w:t>
      </w:r>
      <w:hyperlink r:id="rId15">
        <w:r>
          <w:rPr>
            <w:rStyle w:val="Hyperlink"/>
            <w:rFonts w:ascii="Times New Roman" w:hAnsi="Times New Roman"/>
            <w:b w:val="false"/>
            <w:i w:val="false"/>
            <w:strike/>
            <w:color w:val="000000"/>
            <w:sz w:val="24"/>
          </w:rPr>
          <w:t>601.5(1)</w:t>
        </w:r>
      </w:hyperlink>
      <w:r>
        <w:rPr>
          <w:rFonts w:ascii="Times New Roman" w:hAnsi="Times New Roman"/>
          <w:b w:val="false"/>
          <w:i w:val="false"/>
          <w:color w:val="000000"/>
          <w:sz w:val="24"/>
          <w:u w:val="single"/>
        </w:rPr>
        <w:t> </w:t>
      </w:r>
      <w:hyperlink r:id="rId16">
        <w:r>
          <w:rPr>
            <w:rStyle w:val="Hyperlink"/>
            <w:rFonts w:ascii="Times New Roman" w:hAnsi="Times New Roman"/>
            <w:b w:val="false"/>
            <w:i w:val="false"/>
            <w:color w:val="000000"/>
            <w:sz w:val="24"/>
            <w:u w:val="single"/>
          </w:rPr>
          <w:t>601.4(1)</w:t>
        </w:r>
      </w:hyperlink>
      <w:r>
        <w:rPr>
          <w:rFonts w:ascii="Times New Roman" w:hAnsi="Times New Roman"/>
          <w:b w:val="false"/>
          <w:i w:val="false"/>
          <w:color w:val="000000"/>
          <w:sz w:val="24"/>
        </w:rPr>
        <w:t>, the department’s verification of that identity document is satisfactory evidence of lawful status.</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4.</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 </w:t>
      </w:r>
      <w:r>
        <w:rPr>
          <w:rFonts w:ascii="Times New Roman" w:hAnsi="Times New Roman"/>
          <w:b/>
          <w:i w:val="false"/>
          <w:color w:val="000000"/>
          <w:sz w:val="24"/>
        </w:rPr>
        <w:t>601.4(5)“c”</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Social security records match. The applicant must establish that the applicant’s Social Security Administration’s account number is issued in the applicant’s current legal name as verified by the department with the Social Security Online Verification (SSOLV) system in accordance with 6 CFR Section 37.13(b)(2) effective January 1, </w:t>
      </w:r>
      <w:r>
        <w:rPr>
          <w:rFonts w:ascii="Times New Roman" w:hAnsi="Times New Roman"/>
          <w:b w:val="false"/>
          <w:i w:val="false"/>
          <w:strike/>
          <w:color w:val="000000"/>
          <w:sz w:val="24"/>
        </w:rPr>
        <w:t>2024</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2025</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5.</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601.4(8)</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601.4(8)</w:t>
      </w:r>
      <w:r>
        <w:rPr>
          <w:rFonts w:ascii="Times New Roman" w:hAnsi="Times New Roman"/>
          <w:b w:val="false"/>
          <w:i w:val="false"/>
          <w:color w:val="000000"/>
          <w:sz w:val="24"/>
        </w:rPr>
        <w:t> </w:t>
      </w:r>
      <w:r>
        <w:rPr>
          <w:rFonts w:ascii="Times New Roman" w:hAnsi="Times New Roman"/>
          <w:b w:val="false"/>
          <w:i/>
          <w:color w:val="000000"/>
          <w:sz w:val="24"/>
        </w:rPr>
        <w:t xml:space="preserve">Exception process. </w:t>
      </w:r>
      <w:r>
        <w:rPr>
          <w:rFonts w:ascii="Times New Roman" w:hAnsi="Times New Roman"/>
          <w:b w:val="false"/>
          <w:i w:val="false"/>
          <w:color w:val="000000"/>
          <w:sz w:val="24"/>
        </w:rPr>
        <w:t xml:space="preserve">As provided in 6 CFR Section 37.11(h) (REAL ID exceptions process) effective January 1, </w:t>
      </w:r>
      <w:r>
        <w:rPr>
          <w:rFonts w:ascii="Times New Roman" w:hAnsi="Times New Roman"/>
          <w:b w:val="false"/>
          <w:i w:val="false"/>
          <w:strike/>
          <w:color w:val="000000"/>
          <w:sz w:val="24"/>
        </w:rPr>
        <w:t>2024</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2025</w:t>
      </w:r>
      <w:r>
        <w:rPr>
          <w:rFonts w:ascii="Times New Roman" w:hAnsi="Times New Roman"/>
          <w:b w:val="false"/>
          <w:i w:val="false"/>
          <w:color w:val="000000"/>
          <w:sz w:val="24"/>
        </w:rPr>
        <w:t xml:space="preserve">, and notwithstanding any other provisions of this chapter or </w:t>
      </w:r>
      <w:hyperlink r:id="rId17">
        <w:r>
          <w:rPr>
            <w:rStyle w:val="Hyperlink"/>
            <w:rFonts w:ascii="Times New Roman" w:hAnsi="Times New Roman"/>
            <w:b w:val="false"/>
            <w:i w:val="false"/>
            <w:color w:val="000000"/>
            <w:sz w:val="24"/>
          </w:rPr>
          <w:t>761—Chapter 2504</w:t>
        </w:r>
      </w:hyperlink>
      <w:r>
        <w:rPr>
          <w:rFonts w:ascii="Times New Roman" w:hAnsi="Times New Roman"/>
          <w:b w:val="false"/>
          <w:i w:val="false"/>
          <w:color w:val="000000"/>
          <w:sz w:val="24"/>
        </w:rPr>
        <w:t xml:space="preserve"> to the contrary, an applicant who, for reasons beyond the applicant’s control, is unable to present a necessary document under this rule may apply to the department for an exception as provided in this subrule.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To apply for an exception under this rule, an applicant is to submit a written request to the department at the address or email address listed in subrule </w:t>
      </w:r>
      <w:hyperlink r:id="rId18">
        <w:r>
          <w:rPr>
            <w:rStyle w:val="Hyperlink"/>
            <w:rFonts w:ascii="Times New Roman" w:hAnsi="Times New Roman"/>
            <w:b w:val="false"/>
            <w:i w:val="false"/>
            <w:color w:val="000000"/>
            <w:sz w:val="24"/>
          </w:rPr>
          <w:t>601.1(3)</w:t>
        </w:r>
      </w:hyperlink>
      <w:r>
        <w:rPr>
          <w:rFonts w:ascii="Times New Roman" w:hAnsi="Times New Roman"/>
          <w:b w:val="false"/>
          <w:i w:val="false"/>
          <w:color w:val="000000"/>
          <w:sz w:val="24"/>
        </w:rPr>
        <w:t xml:space="preserve"> or in person at any driver’s license service center containing all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 to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Any alternate document or other proof that exists to verify the facts contained in the missing document, which may include an approved I-94 form documenting the applicant’s most recent admittance into the United States as verified by the U.S. Department of Homeland Security in accordance with 6 CFR Section 37.13 effective January 1, </w:t>
      </w:r>
      <w:r>
        <w:rPr>
          <w:rFonts w:ascii="Times New Roman" w:hAnsi="Times New Roman"/>
          <w:b w:val="false"/>
          <w:i w:val="false"/>
          <w:strike/>
          <w:color w:val="000000"/>
          <w:sz w:val="24"/>
        </w:rPr>
        <w:t>2024</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2025</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 to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An alternate document accepted under this exception process to satisfy the provisions of subrule </w:t>
      </w:r>
      <w:hyperlink r:id="rId19">
        <w:r>
          <w:rPr>
            <w:rStyle w:val="Hyperlink"/>
            <w:rFonts w:ascii="Times New Roman" w:hAnsi="Times New Roman"/>
            <w:b w:val="false"/>
            <w:i w:val="false"/>
            <w:color w:val="000000"/>
            <w:sz w:val="24"/>
          </w:rPr>
          <w:t>601.4(4)</w:t>
        </w:r>
      </w:hyperlink>
      <w:r>
        <w:rPr>
          <w:rFonts w:ascii="Times New Roman" w:hAnsi="Times New Roman"/>
          <w:b w:val="false"/>
          <w:i w:val="false"/>
          <w:color w:val="000000"/>
          <w:sz w:val="24"/>
        </w:rPr>
        <w:t xml:space="preserve"> is only allowed if the document demonstrates United States citizenship as required by 6 CFR Section 37.11(h) effective January 1, </w:t>
      </w:r>
      <w:r>
        <w:rPr>
          <w:rFonts w:ascii="Times New Roman" w:hAnsi="Times New Roman"/>
          <w:b w:val="false"/>
          <w:i w:val="false"/>
          <w:strike/>
          <w:color w:val="000000"/>
          <w:sz w:val="24"/>
        </w:rPr>
        <w:t>2024</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2025</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 to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6.</w:t>
      </w:r>
      <w:r>
        <w:rPr>
          <w:rFonts w:ascii="Times New Roman" w:hAnsi="Times New Roman"/>
          <w:b w:val="false"/>
          <w:i w:val="false"/>
          <w:color w:val="000000"/>
          <w:sz w:val="24"/>
        </w:rPr>
        <w:t>  </w:t>
      </w:r>
      <w:r>
        <w:rPr>
          <w:rFonts w:ascii="Times New Roman" w:hAnsi="Times New Roman"/>
          <w:b w:val="false"/>
          <w:i w:val="false"/>
          <w:color w:val="000000"/>
          <w:sz w:val="24"/>
        </w:rPr>
        <w:t xml:space="preserve">Renumber rules </w:t>
      </w:r>
      <w:r>
        <w:rPr>
          <w:rFonts w:ascii="Times New Roman" w:hAnsi="Times New Roman"/>
          <w:b/>
          <w:i w:val="false"/>
          <w:color w:val="000000"/>
          <w:sz w:val="24"/>
        </w:rPr>
        <w:t>761—601.5(321)</w:t>
      </w:r>
      <w:r>
        <w:rPr>
          <w:rFonts w:ascii="Times New Roman" w:hAnsi="Times New Roman"/>
          <w:b w:val="false"/>
          <w:i w:val="false"/>
          <w:color w:val="000000"/>
          <w:sz w:val="24"/>
        </w:rPr>
        <w:t xml:space="preserve"> and </w:t>
      </w:r>
      <w:r>
        <w:rPr>
          <w:rFonts w:ascii="Times New Roman" w:hAnsi="Times New Roman"/>
          <w:b/>
          <w:i w:val="false"/>
          <w:color w:val="000000"/>
          <w:sz w:val="24"/>
        </w:rPr>
        <w:t>761—601.6(321)</w:t>
      </w:r>
      <w:r>
        <w:rPr>
          <w:rFonts w:ascii="Times New Roman" w:hAnsi="Times New Roman"/>
          <w:b w:val="false"/>
          <w:i w:val="false"/>
          <w:color w:val="000000"/>
          <w:sz w:val="24"/>
        </w:rPr>
        <w:t xml:space="preserve"> as </w:t>
      </w:r>
      <w:r>
        <w:rPr>
          <w:rFonts w:ascii="Times New Roman" w:hAnsi="Times New Roman"/>
          <w:b/>
          <w:i w:val="false"/>
          <w:color w:val="000000"/>
          <w:sz w:val="24"/>
        </w:rPr>
        <w:t>761—601.6(321)</w:t>
      </w:r>
      <w:r>
        <w:rPr>
          <w:rFonts w:ascii="Times New Roman" w:hAnsi="Times New Roman"/>
          <w:b w:val="false"/>
          <w:i w:val="false"/>
          <w:color w:val="000000"/>
          <w:sz w:val="24"/>
        </w:rPr>
        <w:t xml:space="preserve"> and </w:t>
      </w:r>
      <w:r>
        <w:rPr>
          <w:rFonts w:ascii="Times New Roman" w:hAnsi="Times New Roman"/>
          <w:b/>
          <w:i w:val="false"/>
          <w:color w:val="000000"/>
          <w:sz w:val="24"/>
        </w:rPr>
        <w:t>761—601.7(321)</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7.</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rule  </w:t>
      </w:r>
      <w:r>
        <w:rPr>
          <w:rFonts w:ascii="Times New Roman" w:hAnsi="Times New Roman"/>
          <w:b w:val="false"/>
          <w:i w:val="false"/>
          <w:color w:val="000000"/>
          <w:sz w:val="24"/>
        </w:rPr>
        <w:t>761—601.5</w:t>
      </w:r>
      <w:r>
        <w:rPr>
          <w:rFonts w:ascii="Times New Roman" w:hAnsi="Times New Roman"/>
          <w:b w:val="false"/>
          <w:i w:val="false"/>
          <w:color w:val="000000"/>
          <w:sz w:val="24"/>
        </w:rPr>
        <w:t>(307,321):</w:t>
      </w:r>
    </w:p>
    <w:p>
      <w:pPr>
        <w:spacing w:before="0" w:after="0" w:line="480"/>
        <w:ind w:left="120"/>
        <w:jc w:val="both"/>
      </w:pPr>
      <w:r>
        <w:rPr>
          <w:rFonts w:ascii="Times New Roman" w:hAnsi="Times New Roman"/>
          <w:b/>
          <w:i w:val="false"/>
          <w:color w:val="000000"/>
          <w:sz w:val="24"/>
        </w:rPr>
        <w:t>761—601.5</w:t>
      </w:r>
      <w:r>
        <w:rPr>
          <w:rFonts w:ascii="Times New Roman" w:hAnsi="Times New Roman"/>
          <w:b/>
          <w:i w:val="false"/>
          <w:color w:val="000000"/>
          <w:sz w:val="24"/>
        </w:rPr>
        <w:t xml:space="preserve">(307,321) </w:t>
      </w:r>
      <w:r>
        <w:rPr>
          <w:rFonts w:ascii="Times New Roman" w:hAnsi="Times New Roman"/>
          <w:b/>
          <w:i w:val="false"/>
          <w:color w:val="000000"/>
          <w:sz w:val="24"/>
        </w:rPr>
        <w:t xml:space="preserve">Legal status authentication.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601.5(1)</w:t>
      </w:r>
      <w:r>
        <w:rPr>
          <w:rFonts w:ascii="Times New Roman" w:hAnsi="Times New Roman"/>
          <w:b w:val="false"/>
          <w:i w:val="false"/>
          <w:color w:val="000000"/>
          <w:sz w:val="24"/>
        </w:rPr>
        <w:t> </w:t>
      </w:r>
      <w:r>
        <w:rPr>
          <w:rFonts w:ascii="Times New Roman" w:hAnsi="Times New Roman"/>
          <w:b w:val="false"/>
          <w:i w:val="false"/>
          <w:color w:val="000000"/>
          <w:sz w:val="24"/>
        </w:rPr>
        <w:t xml:space="preserve">Except as provided in subrules </w:t>
      </w:r>
      <w:hyperlink r:id="rId20">
        <w:r>
          <w:rPr>
            <w:rStyle w:val="Hyperlink"/>
            <w:rFonts w:ascii="Times New Roman" w:hAnsi="Times New Roman"/>
            <w:b w:val="false"/>
            <w:i w:val="false"/>
            <w:color w:val="000000"/>
            <w:sz w:val="24"/>
          </w:rPr>
          <w:t>601.5(2)</w:t>
        </w:r>
      </w:hyperlink>
      <w:r>
        <w:rPr>
          <w:rFonts w:ascii="Times New Roman" w:hAnsi="Times New Roman"/>
          <w:b w:val="false"/>
          <w:i w:val="false"/>
          <w:color w:val="000000"/>
          <w:sz w:val="24"/>
        </w:rPr>
        <w:t xml:space="preserve"> and </w:t>
      </w:r>
      <w:hyperlink r:id="rId21">
        <w:r>
          <w:rPr>
            <w:rStyle w:val="Hyperlink"/>
            <w:rFonts w:ascii="Times New Roman" w:hAnsi="Times New Roman"/>
            <w:b w:val="false"/>
            <w:i w:val="false"/>
            <w:color w:val="000000"/>
            <w:sz w:val="24"/>
          </w:rPr>
          <w:t>601.5(3)</w:t>
        </w:r>
      </w:hyperlink>
      <w:r>
        <w:rPr>
          <w:rFonts w:ascii="Times New Roman" w:hAnsi="Times New Roman"/>
          <w:b w:val="false"/>
          <w:i w:val="false"/>
          <w:color w:val="000000"/>
          <w:sz w:val="24"/>
        </w:rPr>
        <w:t xml:space="preserve">, an applicant for an Iowa driver’s license or nonoperator’s identification card, including an applicant who currently holds an Iowa driver’s license or nonoperator’s identification card, for whom proof of the applicant’s United States citizenship or lawful status in the United States under subrules </w:t>
      </w:r>
      <w:hyperlink r:id="rId22">
        <w:r>
          <w:rPr>
            <w:rStyle w:val="Hyperlink"/>
            <w:rFonts w:ascii="Times New Roman" w:hAnsi="Times New Roman"/>
            <w:b w:val="false"/>
            <w:i w:val="false"/>
            <w:color w:val="000000"/>
            <w:sz w:val="24"/>
          </w:rPr>
          <w:t>601.4(1)</w:t>
        </w:r>
      </w:hyperlink>
      <w:r>
        <w:rPr>
          <w:rFonts w:ascii="Times New Roman" w:hAnsi="Times New Roman"/>
          <w:b w:val="false"/>
          <w:i w:val="false"/>
          <w:color w:val="000000"/>
          <w:sz w:val="24"/>
        </w:rPr>
        <w:t xml:space="preserve"> and </w:t>
      </w:r>
      <w:hyperlink r:id="rId23">
        <w:r>
          <w:rPr>
            <w:rStyle w:val="Hyperlink"/>
            <w:rFonts w:ascii="Times New Roman" w:hAnsi="Times New Roman"/>
            <w:b w:val="false"/>
            <w:i w:val="false"/>
            <w:color w:val="000000"/>
            <w:sz w:val="24"/>
          </w:rPr>
          <w:t>601.4(4)</w:t>
        </w:r>
      </w:hyperlink>
      <w:r>
        <w:rPr>
          <w:rFonts w:ascii="Times New Roman" w:hAnsi="Times New Roman"/>
          <w:b w:val="false"/>
          <w:i w:val="false"/>
          <w:color w:val="000000"/>
          <w:sz w:val="24"/>
        </w:rPr>
        <w:t xml:space="preserve"> is not already contained in the applicant’s file, shall, subject to the verification requirements of Iowa Code section </w:t>
      </w:r>
      <w:hyperlink r:id="rId24">
        <w:r>
          <w:rPr>
            <w:rStyle w:val="Hyperlink"/>
            <w:rFonts w:ascii="Times New Roman" w:hAnsi="Times New Roman"/>
            <w:b w:val="false"/>
            <w:i w:val="false"/>
            <w:color w:val="000000"/>
            <w:sz w:val="24"/>
          </w:rPr>
          <w:t>321.183A</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2026 Iowa Acts, Senate File 2187</w:t>
      </w:r>
      <w:r>
        <w:rPr>
          <w:rFonts w:ascii="Times New Roman" w:hAnsi="Times New Roman"/>
          <w:b w:val="false"/>
          <w:i w:val="false"/>
          <w:color w:val="000000"/>
          <w:sz w:val="24"/>
        </w:rPr>
        <w:t xml:space="preserve">, submit proof of the applicant’s United States citizenship, or, if not a United States citizen, proof of the applicant’s lawful status in the United States by presenting a document in paragraphs </w:t>
      </w:r>
      <w:hyperlink r:id="rId25">
        <w:r>
          <w:rPr>
            <w:rStyle w:val="Hyperlink"/>
            <w:rFonts w:ascii="Times New Roman" w:hAnsi="Times New Roman"/>
            <w:b w:val="false"/>
            <w:i w:val="false"/>
            <w:color w:val="000000"/>
            <w:sz w:val="24"/>
          </w:rPr>
          <w:t>601.4(1)</w:t>
        </w:r>
      </w:hyperlink>
      <w:r>
        <w:rPr>
          <w:rFonts w:ascii="Times New Roman" w:hAnsi="Times New Roman"/>
          <w:b w:val="false"/>
          <w:i/>
          <w:color w:val="000000"/>
          <w:sz w:val="24"/>
        </w:rPr>
        <w:t>“a”</w:t>
      </w:r>
      <w:r>
        <w:rPr>
          <w:rFonts w:ascii="Times New Roman" w:hAnsi="Times New Roman"/>
          <w:b w:val="false"/>
          <w:i w:val="false"/>
          <w:color w:val="000000"/>
          <w:sz w:val="24"/>
        </w:rPr>
        <w:t xml:space="preserve"> through </w:t>
      </w:r>
      <w:r>
        <w:rPr>
          <w:rFonts w:ascii="Times New Roman" w:hAnsi="Times New Roman"/>
          <w:b w:val="false"/>
          <w:i/>
          <w:color w:val="000000"/>
          <w:sz w:val="24"/>
        </w:rPr>
        <w:t>“h.”</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601.5(2)</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department may utilize an applicant’s name, date of birth and social security number, which shall be verified using the system identified in Iowa Code section </w:t>
      </w:r>
      <w:hyperlink r:id="rId26">
        <w:r>
          <w:rPr>
            <w:rStyle w:val="Hyperlink"/>
            <w:rFonts w:ascii="Times New Roman" w:hAnsi="Times New Roman"/>
            <w:b w:val="false"/>
            <w:i w:val="false"/>
            <w:color w:val="000000"/>
            <w:sz w:val="24"/>
          </w:rPr>
          <w:t>321.183A(2)</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2026 Iowa Acts, Senate File 2187</w:t>
      </w:r>
      <w:r>
        <w:rPr>
          <w:rFonts w:ascii="Times New Roman" w:hAnsi="Times New Roman"/>
          <w:b w:val="false"/>
          <w:i w:val="false"/>
          <w:color w:val="000000"/>
          <w:sz w:val="24"/>
        </w:rPr>
        <w:t>, to establish proof of the person’s United States citizenship.</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601.5(3)</w:t>
      </w:r>
      <w:r>
        <w:rPr>
          <w:rFonts w:ascii="Times New Roman" w:hAnsi="Times New Roman"/>
          <w:b w:val="false"/>
          <w:i w:val="false"/>
          <w:color w:val="000000"/>
          <w:sz w:val="24"/>
        </w:rPr>
        <w:t> </w:t>
      </w:r>
      <w:r>
        <w:rPr>
          <w:rFonts w:ascii="Times New Roman" w:hAnsi="Times New Roman"/>
          <w:b w:val="false"/>
          <w:i w:val="false"/>
          <w:color w:val="000000"/>
          <w:sz w:val="24"/>
        </w:rPr>
        <w:t xml:space="preserve">An applicant presenting a document in paragraph </w:t>
      </w:r>
      <w:hyperlink r:id="rId27">
        <w:r>
          <w:rPr>
            <w:rStyle w:val="Hyperlink"/>
            <w:rFonts w:ascii="Times New Roman" w:hAnsi="Times New Roman"/>
            <w:b w:val="false"/>
            <w:i w:val="false"/>
            <w:color w:val="000000"/>
            <w:sz w:val="24"/>
          </w:rPr>
          <w:t>601.4(1)</w:t>
        </w:r>
      </w:hyperlink>
      <w:r>
        <w:rPr>
          <w:rFonts w:ascii="Times New Roman" w:hAnsi="Times New Roman"/>
          <w:b w:val="false"/>
          <w:i/>
          <w:color w:val="000000"/>
          <w:sz w:val="24"/>
        </w:rPr>
        <w:t>“k”</w:t>
      </w:r>
      <w:r>
        <w:rPr>
          <w:rFonts w:ascii="Times New Roman" w:hAnsi="Times New Roman"/>
          <w:b w:val="false"/>
          <w:i w:val="false"/>
          <w:color w:val="000000"/>
          <w:sz w:val="24"/>
        </w:rPr>
        <w:t xml:space="preserve"> must also provide the applicant’s date of birth and social security number, which shall be verified using the system identified in Iowa Code section </w:t>
      </w:r>
      <w:hyperlink r:id="rId28">
        <w:r>
          <w:rPr>
            <w:rStyle w:val="Hyperlink"/>
            <w:rFonts w:ascii="Times New Roman" w:hAnsi="Times New Roman"/>
            <w:b w:val="false"/>
            <w:i w:val="false"/>
            <w:color w:val="000000"/>
            <w:sz w:val="24"/>
          </w:rPr>
          <w:t>321.183A(2)</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2026 Iowa Acts, Senate File 2187</w:t>
      </w:r>
      <w:r>
        <w:rPr>
          <w:rFonts w:ascii="Times New Roman" w:hAnsi="Times New Roman"/>
          <w:b w:val="false"/>
          <w:i w:val="false"/>
          <w:color w:val="000000"/>
          <w:sz w:val="24"/>
        </w:rPr>
        <w:t>, to establish proof of the person’s United States citizenship.</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601.5(4)</w:t>
      </w:r>
      <w:r>
        <w:rPr>
          <w:rFonts w:ascii="Times New Roman" w:hAnsi="Times New Roman"/>
          <w:b w:val="false"/>
          <w:i w:val="false"/>
          <w:color w:val="000000"/>
          <w:sz w:val="24"/>
        </w:rPr>
        <w:t> </w:t>
      </w:r>
      <w:r>
        <w:rPr>
          <w:rFonts w:ascii="Times New Roman" w:hAnsi="Times New Roman"/>
          <w:b w:val="false"/>
          <w:i w:val="false"/>
          <w:color w:val="000000"/>
          <w:sz w:val="24"/>
        </w:rPr>
        <w:t xml:space="preserve">Subrule </w:t>
      </w:r>
      <w:hyperlink r:id="rId29">
        <w:r>
          <w:rPr>
            <w:rStyle w:val="Hyperlink"/>
            <w:rFonts w:ascii="Times New Roman" w:hAnsi="Times New Roman"/>
            <w:b w:val="false"/>
            <w:i w:val="false"/>
            <w:color w:val="000000"/>
            <w:sz w:val="24"/>
          </w:rPr>
          <w:t>601.4(5)</w:t>
        </w:r>
      </w:hyperlink>
      <w:r>
        <w:rPr>
          <w:rFonts w:ascii="Times New Roman" w:hAnsi="Times New Roman"/>
          <w:b w:val="false"/>
          <w:i w:val="false"/>
          <w:color w:val="000000"/>
          <w:sz w:val="24"/>
        </w:rPr>
        <w:t xml:space="preserve"> applies to an applicant who presents a document in subrule </w:t>
      </w:r>
      <w:hyperlink r:id="rId30">
        <w:r>
          <w:rPr>
            <w:rStyle w:val="Hyperlink"/>
            <w:rFonts w:ascii="Times New Roman" w:hAnsi="Times New Roman"/>
            <w:b w:val="false"/>
            <w:i w:val="false"/>
            <w:color w:val="000000"/>
            <w:sz w:val="24"/>
          </w:rPr>
          <w:t>601.5(1)</w:t>
        </w:r>
      </w:hyperlink>
      <w:r>
        <w:rPr>
          <w:rFonts w:ascii="Times New Roman" w:hAnsi="Times New Roman"/>
          <w:b w:val="false"/>
          <w:i w:val="false"/>
          <w:color w:val="000000"/>
          <w:sz w:val="24"/>
        </w:rPr>
        <w:t xml:space="preserve"> when the name listed on the document does not match the applicant’s current legal name. </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31">
        <w:r>
          <w:rPr>
            <w:rStyle w:val="Hyperlink"/>
            <w:rFonts w:ascii="Times New Roman" w:hAnsi="Times New Roman"/>
            <w:b w:val="false"/>
            <w:i w:val="false"/>
            <w:color w:val="000000"/>
            <w:sz w:val="24"/>
          </w:rPr>
          <w:t>307.12(1)</w:t>
        </w:r>
      </w:hyperlink>
      <w:r>
        <w:rPr>
          <w:rFonts w:ascii="Times New Roman" w:hAnsi="Times New Roman"/>
          <w:b w:val="false"/>
          <w:i/>
          <w:color w:val="000000"/>
          <w:sz w:val="24"/>
        </w:rPr>
        <w:t>“j,”</w:t>
      </w:r>
      <w:r>
        <w:rPr>
          <w:rFonts w:ascii="Times New Roman" w:hAnsi="Times New Roman"/>
          <w:b w:val="false"/>
          <w:i w:val="false"/>
          <w:color w:val="000000"/>
          <w:sz w:val="24"/>
        </w:rPr>
        <w:t xml:space="preserve">  </w:t>
      </w:r>
      <w:hyperlink r:id="rId32">
        <w:r>
          <w:rPr>
            <w:rStyle w:val="Hyperlink"/>
            <w:rFonts w:ascii="Times New Roman" w:hAnsi="Times New Roman"/>
            <w:b w:val="false"/>
            <w:i w:val="false"/>
            <w:color w:val="000000"/>
            <w:sz w:val="24"/>
          </w:rPr>
          <w:t>321.13</w:t>
        </w:r>
      </w:hyperlink>
      <w:r>
        <w:rPr>
          <w:rFonts w:ascii="Times New Roman" w:hAnsi="Times New Roman"/>
          <w:b w:val="false"/>
          <w:i w:val="false"/>
          <w:color w:val="000000"/>
          <w:sz w:val="24"/>
        </w:rPr>
        <w:t xml:space="preserve">, </w:t>
      </w:r>
      <w:hyperlink r:id="rId33">
        <w:r>
          <w:rPr>
            <w:rStyle w:val="Hyperlink"/>
            <w:rFonts w:ascii="Times New Roman" w:hAnsi="Times New Roman"/>
            <w:b w:val="false"/>
            <w:i w:val="false"/>
            <w:color w:val="000000"/>
            <w:sz w:val="24"/>
          </w:rPr>
          <w:t>321.182</w:t>
        </w:r>
      </w:hyperlink>
      <w:r>
        <w:rPr>
          <w:rFonts w:ascii="Times New Roman" w:hAnsi="Times New Roman"/>
          <w:b w:val="false"/>
          <w:i w:val="false"/>
          <w:color w:val="000000"/>
          <w:sz w:val="24"/>
        </w:rPr>
        <w:t xml:space="preserve">, </w:t>
      </w:r>
      <w:hyperlink r:id="rId34">
        <w:r>
          <w:rPr>
            <w:rStyle w:val="Hyperlink"/>
            <w:rFonts w:ascii="Times New Roman" w:hAnsi="Times New Roman"/>
            <w:b w:val="false"/>
            <w:i w:val="false"/>
            <w:color w:val="000000"/>
            <w:sz w:val="24"/>
          </w:rPr>
          <w:t>321.183A</w:t>
        </w:r>
      </w:hyperlink>
      <w:r>
        <w:rPr>
          <w:rFonts w:ascii="Times New Roman" w:hAnsi="Times New Roman"/>
          <w:b w:val="false"/>
          <w:i w:val="false"/>
          <w:color w:val="000000"/>
          <w:sz w:val="24"/>
        </w:rPr>
        <w:t xml:space="preserve"> as enacted by 2026 Iowa Acts, Senate File 2187, </w:t>
      </w:r>
      <w:hyperlink r:id="rId35">
        <w:r>
          <w:rPr>
            <w:rStyle w:val="Hyperlink"/>
            <w:rFonts w:ascii="Times New Roman" w:hAnsi="Times New Roman"/>
            <w:b w:val="false"/>
            <w:i w:val="false"/>
            <w:color w:val="000000"/>
            <w:sz w:val="24"/>
          </w:rPr>
          <w:t>321.189</w:t>
        </w:r>
      </w:hyperlink>
      <w:r>
        <w:rPr>
          <w:rFonts w:ascii="Times New Roman" w:hAnsi="Times New Roman"/>
          <w:b w:val="false"/>
          <w:i w:val="false"/>
          <w:color w:val="000000"/>
          <w:sz w:val="24"/>
        </w:rPr>
        <w:t xml:space="preserve"> and </w:t>
      </w:r>
      <w:hyperlink r:id="rId36">
        <w:r>
          <w:rPr>
            <w:rStyle w:val="Hyperlink"/>
            <w:rFonts w:ascii="Times New Roman" w:hAnsi="Times New Roman"/>
            <w:b w:val="false"/>
            <w:i w:val="false"/>
            <w:color w:val="000000"/>
            <w:sz w:val="24"/>
          </w:rPr>
          <w:t>321.190</w:t>
        </w:r>
      </w:hyperlink>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8.</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renumbered subrule </w:t>
      </w:r>
      <w:r>
        <w:rPr>
          <w:rFonts w:ascii="Times New Roman" w:hAnsi="Times New Roman"/>
          <w:b w:val="false"/>
          <w:i w:val="false"/>
          <w:color w:val="000000"/>
          <w:sz w:val="24"/>
        </w:rPr>
        <w:t>601.6(1)</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601.6(1)</w:t>
      </w:r>
      <w:r>
        <w:rPr>
          <w:rFonts w:ascii="Times New Roman" w:hAnsi="Times New Roman"/>
          <w:b w:val="false"/>
          <w:i w:val="false"/>
          <w:color w:val="000000"/>
          <w:sz w:val="24"/>
        </w:rPr>
        <w:t> </w:t>
      </w:r>
      <w:r>
        <w:rPr>
          <w:rFonts w:ascii="Times New Roman" w:hAnsi="Times New Roman"/>
          <w:b w:val="false"/>
          <w:i w:val="false"/>
          <w:color w:val="000000"/>
          <w:sz w:val="24"/>
        </w:rPr>
        <w:t>Form 430018, Parent’s, Guardian’s or Custodian’s Consent to Issue Driver’s License or Permit, or its equivalent must be submitted</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to the department</w:t>
      </w:r>
      <w:r>
        <w:rPr>
          <w:rFonts w:ascii="Times New Roman" w:hAnsi="Times New Roman"/>
          <w:b w:val="false"/>
          <w:i w:val="false"/>
          <w:color w:val="000000"/>
          <w:sz w:val="24"/>
        </w:rPr>
        <w:t xml:space="preserve"> at the time of issuance or to the email address listed in subrule </w:t>
      </w:r>
      <w:hyperlink r:id="rId37">
        <w:r>
          <w:rPr>
            <w:rStyle w:val="Hyperlink"/>
            <w:rFonts w:ascii="Times New Roman" w:hAnsi="Times New Roman"/>
            <w:b w:val="false"/>
            <w:i w:val="false"/>
            <w:color w:val="000000"/>
            <w:sz w:val="24"/>
          </w:rPr>
          <w:t>601.1(3)</w:t>
        </w:r>
      </w:hyperlink>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or electronically submitted through the department’s records system</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9.</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renumbered rule </w:t>
      </w:r>
      <w:r>
        <w:rPr>
          <w:rFonts w:ascii="Times New Roman" w:hAnsi="Times New Roman"/>
          <w:b w:val="false"/>
          <w:i w:val="false"/>
          <w:color w:val="000000"/>
          <w:sz w:val="24"/>
        </w:rPr>
        <w:t>761—601.7(321)</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761—601.7</w:t>
      </w:r>
      <w:r>
        <w:rPr>
          <w:rFonts w:ascii="Times New Roman" w:hAnsi="Times New Roman"/>
          <w:b/>
          <w:i w:val="false"/>
          <w:color w:val="000000"/>
          <w:sz w:val="24"/>
        </w:rPr>
        <w:t xml:space="preserve">(321) </w:t>
      </w:r>
      <w:r>
        <w:rPr>
          <w:rFonts w:ascii="Times New Roman" w:hAnsi="Times New Roman"/>
          <w:b/>
          <w:i w:val="false"/>
          <w:color w:val="000000"/>
          <w:sz w:val="24"/>
        </w:rPr>
        <w:t xml:space="preserve">REAL ID driver’s license. </w:t>
      </w:r>
      <w:r>
        <w:rPr>
          <w:rFonts w:ascii="Times New Roman" w:hAnsi="Times New Roman"/>
          <w:b w:val="false"/>
          <w:i w:val="false"/>
          <w:color w:val="000000"/>
          <w:sz w:val="24"/>
        </w:rPr>
        <w:t xml:space="preserve">A person who seeks a driver’s license that is compliant with the REAL ID Act of 2005, </w:t>
      </w:r>
      <w:r>
        <w:rPr>
          <w:rFonts w:ascii="Times New Roman" w:hAnsi="Times New Roman"/>
          <w:b w:val="false"/>
          <w:i w:val="false"/>
          <w:color w:val="000000"/>
          <w:sz w:val="24"/>
        </w:rPr>
        <w:t>49 U.S.C.</w:t>
      </w:r>
      <w:r>
        <w:rPr>
          <w:rFonts w:ascii="Times New Roman" w:hAnsi="Times New Roman"/>
          <w:b w:val="false"/>
          <w:i w:val="false"/>
          <w:color w:val="000000"/>
          <w:sz w:val="24"/>
        </w:rPr>
        <w:t xml:space="preserve"> Section 30301 note, as implemented in </w:t>
      </w:r>
      <w:r>
        <w:rPr>
          <w:rFonts w:ascii="Times New Roman" w:hAnsi="Times New Roman"/>
          <w:b w:val="false"/>
          <w:i w:val="false"/>
          <w:color w:val="000000"/>
          <w:sz w:val="24"/>
        </w:rPr>
        <w:t>6 CFR Part 37</w:t>
      </w:r>
      <w:r>
        <w:rPr>
          <w:rFonts w:ascii="Times New Roman" w:hAnsi="Times New Roman"/>
          <w:b w:val="false"/>
          <w:i w:val="false"/>
          <w:color w:val="000000"/>
          <w:sz w:val="24"/>
        </w:rPr>
        <w:t xml:space="preserve"> (“REAL ID driver’s license”) effective January 1, </w:t>
      </w:r>
      <w:r>
        <w:rPr>
          <w:rFonts w:ascii="Times New Roman" w:hAnsi="Times New Roman"/>
          <w:b w:val="false"/>
          <w:i w:val="false"/>
          <w:strike/>
          <w:color w:val="000000"/>
          <w:sz w:val="24"/>
        </w:rPr>
        <w:t>2024</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2025</w:t>
      </w:r>
      <w:r>
        <w:rPr>
          <w:rFonts w:ascii="Times New Roman" w:hAnsi="Times New Roman"/>
          <w:b w:val="false"/>
          <w:i w:val="false"/>
          <w:color w:val="000000"/>
          <w:sz w:val="24"/>
        </w:rPr>
        <w:t xml:space="preserve">, must meet and comply with all lawful requirements for an Iowa driver’s license and must also meet and comply with all application and documentation requirements set forth at </w:t>
      </w:r>
      <w:r>
        <w:rPr>
          <w:rFonts w:ascii="Times New Roman" w:hAnsi="Times New Roman"/>
          <w:b w:val="false"/>
          <w:i w:val="false"/>
          <w:color w:val="000000"/>
          <w:sz w:val="24"/>
        </w:rPr>
        <w:t>6 CFR Part 37</w:t>
      </w:r>
      <w:r>
        <w:rPr>
          <w:rFonts w:ascii="Times New Roman" w:hAnsi="Times New Roman"/>
          <w:b w:val="false"/>
          <w:i w:val="false"/>
          <w:color w:val="000000"/>
          <w:sz w:val="24"/>
        </w:rPr>
        <w:t xml:space="preserve">, including but not limited to documentation of identity, date of birth, social security number, address of principal residence and evidence of lawful status in the United States. Documents and information provided will be verified pursuant to 6 CFR Section 37.13. An applicant for a REAL ID driver’s license is subject to a mandatory facial image capture that meets the requirements of 6 CFR Section 37.11(a). A REAL ID driver’s license may not be issued, reissued or renewed except as permitted in </w:t>
      </w:r>
      <w:r>
        <w:rPr>
          <w:rFonts w:ascii="Times New Roman" w:hAnsi="Times New Roman"/>
          <w:b w:val="false"/>
          <w:i w:val="false"/>
          <w:color w:val="000000"/>
          <w:sz w:val="24"/>
        </w:rPr>
        <w:t>6 CFR Part 37</w:t>
      </w:r>
      <w:r>
        <w:rPr>
          <w:rFonts w:ascii="Times New Roman" w:hAnsi="Times New Roman"/>
          <w:b w:val="false"/>
          <w:i w:val="false"/>
          <w:color w:val="000000"/>
          <w:sz w:val="24"/>
        </w:rPr>
        <w:t xml:space="preserve"> and may not be issued, reissued or renewed by any procedure, in any circumstance, to any person or for any term prohibited under </w:t>
      </w:r>
      <w:r>
        <w:rPr>
          <w:rFonts w:ascii="Times New Roman" w:hAnsi="Times New Roman"/>
          <w:b w:val="false"/>
          <w:i w:val="false"/>
          <w:color w:val="000000"/>
          <w:sz w:val="24"/>
        </w:rPr>
        <w:t>6 CFR Part 37</w:t>
      </w:r>
      <w:r>
        <w:rPr>
          <w:rFonts w:ascii="Times New Roman" w:hAnsi="Times New Roman"/>
          <w:b w:val="false"/>
          <w:i w:val="false"/>
          <w:color w:val="000000"/>
          <w:sz w:val="24"/>
        </w:rPr>
        <w:t>. The information on the front of any REAL ID driver’s license must include all information and markings required by 6 CFR Section 37.17. Nothing in this rule requires a person to obtain a REAL ID driver’s license.</w:t>
      </w:r>
    </w:p>
    <w:p>
      <w:pPr>
        <w:spacing w:before="0" w:after="0" w:line="480"/>
        <w:ind w:left="120"/>
        <w:jc w:val="both"/>
      </w:pPr>
      <w:r>
        <w:rPr>
          <w:rFonts w:ascii="Times New Roman" w:hAnsi="Times New Roman"/>
          <w:b w:val="false"/>
          <w:i w:val="false"/>
          <w:color w:val="000000"/>
          <w:sz w:val="24"/>
        </w:rPr>
        <w:t xml:space="preserve">This rule is intended to implement Iowa Code chapter </w:t>
      </w:r>
      <w:hyperlink r:id="rId38">
        <w:r>
          <w:rPr>
            <w:rStyle w:val="Hyperlink"/>
            <w:rFonts w:ascii="Times New Roman" w:hAnsi="Times New Roman"/>
            <w:b w:val="false"/>
            <w:i w:val="false"/>
            <w:color w:val="000000"/>
            <w:sz w:val="24"/>
          </w:rPr>
          <w:t>321</w:t>
        </w:r>
      </w:hyperlink>
      <w:r>
        <w:rPr>
          <w:rFonts w:ascii="Times New Roman" w:hAnsi="Times New Roman"/>
          <w:b w:val="false"/>
          <w:i w:val="false"/>
          <w:color w:val="000000"/>
          <w:sz w:val="24"/>
        </w:rPr>
        <w:t>; the REAL ID Act of 2005 (</w:t>
      </w:r>
      <w:r>
        <w:rPr>
          <w:rFonts w:ascii="Times New Roman" w:hAnsi="Times New Roman"/>
          <w:b w:val="false"/>
          <w:i w:val="false"/>
          <w:color w:val="000000"/>
          <w:sz w:val="24"/>
        </w:rPr>
        <w:t>49 U.S.C.</w:t>
      </w:r>
      <w:r>
        <w:rPr>
          <w:rFonts w:ascii="Times New Roman" w:hAnsi="Times New Roman"/>
          <w:b w:val="false"/>
          <w:i w:val="false"/>
          <w:color w:val="000000"/>
          <w:sz w:val="24"/>
        </w:rPr>
        <w:t xml:space="preserve"> Section 30301 note) as amended by the REAL ID Modernization Act, H.R. 133, Division U, Title X; and </w:t>
      </w:r>
      <w:r>
        <w:rPr>
          <w:rFonts w:ascii="Times New Roman" w:hAnsi="Times New Roman"/>
          <w:b w:val="false"/>
          <w:i w:val="false"/>
          <w:color w:val="000000"/>
          <w:sz w:val="24"/>
        </w:rPr>
        <w:t>6 CFR Part 37</w:t>
      </w:r>
      <w:r>
        <w:rPr>
          <w:rFonts w:ascii="Times New Roman" w:hAnsi="Times New Roman"/>
          <w:b w:val="false"/>
          <w:i w:val="false"/>
          <w:color w:val="000000"/>
          <w:sz w:val="24"/>
        </w:rPr>
        <w:t>.</w:t>
      </w:r>
    </w:p>
    <w:p>
      <w:pPr>
        <w:spacing w:before="0" w:after="0" w:line="240"/>
        <w:ind w:left="120"/>
        <w:jc w:val="both"/>
      </w:pPr>
    </w:p>
    <w:sectPr>
      <w:footerReference r:id="rId39"/>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teams.microsoft.com/meet/276511322816826?p=wsIO0HFjTVkI5yFQYV" Type="http://schemas.openxmlformats.org/officeDocument/2006/relationships/hyperlink" Id="rId4"/>
    <Relationship TargetMode="External" Target="mailto:sara.siedsma@iowadot.us" Type="http://schemas.openxmlformats.org/officeDocument/2006/relationships/hyperlink" Id="rId5"/>
    <Relationship TargetMode="External" Target="https://www.legis.iowa.gov/docs/iac/rule/761.605.25.pdf" Type="http://schemas.openxmlformats.org/officeDocument/2006/relationships/hyperlink" Id="rId6"/>
    <Relationship TargetMode="External" Target="https://www.legis.iowa.gov/docs/iac/chapter/761.605.pdf" Type="http://schemas.openxmlformats.org/officeDocument/2006/relationships/hyperlink" Id="rId7"/>
    <Relationship TargetMode="External" Target="https://www.legis.iowa.gov/docs/iac/chapter/761.630.pdf" Type="http://schemas.openxmlformats.org/officeDocument/2006/relationships/hyperlink" Id="rId8"/>
    <Relationship TargetMode="External" Target="https://www.legis.iowa.gov/docs/ico/chapter/321.13.pdf" Type="http://schemas.openxmlformats.org/officeDocument/2006/relationships/hyperlink" Id="rId9"/>
    <Relationship TargetMode="External" Target="https://www.legis.iowa.gov/docs/ico/chapter/321.177.pdf" Type="http://schemas.openxmlformats.org/officeDocument/2006/relationships/hyperlink" Id="rId10"/>
    <Relationship TargetMode="External" Target="https://www.legis.iowa.gov/docs/ico/chapter/321.182.pdf" Type="http://schemas.openxmlformats.org/officeDocument/2006/relationships/hyperlink" Id="rId11"/>
    <Relationship TargetMode="External" Target="https://www.legis.iowa.gov/docs/ico/chapter/321.186.pdf" Type="http://schemas.openxmlformats.org/officeDocument/2006/relationships/hyperlink" Id="rId12"/>
    <Relationship TargetMode="External" Target="https://www.legis.iowa.gov/docs/ico/chapter/321.196.pdf" Type="http://schemas.openxmlformats.org/officeDocument/2006/relationships/hyperlink" Id="rId13"/>
    <Relationship TargetMode="External" Target="https://www.legis.iowa.gov/docs/ico/chapter/321C.1.pdf" Type="http://schemas.openxmlformats.org/officeDocument/2006/relationships/hyperlink" Id="rId14"/>
    <Relationship TargetMode="External" Target="https://www.legis.iowa.gov/docs/iac/rule/761.601.5.pdf" Type="http://schemas.openxmlformats.org/officeDocument/2006/relationships/hyperlink" Id="rId15"/>
    <Relationship TargetMode="External" Target="https://www.legis.iowa.gov/docs/iac/rule/761.601.4.pdf" Type="http://schemas.openxmlformats.org/officeDocument/2006/relationships/hyperlink" Id="rId16"/>
    <Relationship TargetMode="External" Target="https://www.legis.iowa.gov/docs/iac/chapter/761.2504.pdf" Type="http://schemas.openxmlformats.org/officeDocument/2006/relationships/hyperlink" Id="rId17"/>
    <Relationship TargetMode="External" Target="https://www.legis.iowa.gov/docs/iac/rule/761.601.1.pdf" Type="http://schemas.openxmlformats.org/officeDocument/2006/relationships/hyperlink" Id="rId18"/>
    <Relationship TargetMode="External" Target="https://www.legis.iowa.gov/docs/iac/rule/761.601.4.pdf" Type="http://schemas.openxmlformats.org/officeDocument/2006/relationships/hyperlink" Id="rId19"/>
    <Relationship TargetMode="External" Target="https://www.legis.iowa.gov/docs/iac/rule/761.601.5.pdf" Type="http://schemas.openxmlformats.org/officeDocument/2006/relationships/hyperlink" Id="rId20"/>
    <Relationship TargetMode="External" Target="https://www.legis.iowa.gov/docs/iac/rule/761.601.5.pdf" Type="http://schemas.openxmlformats.org/officeDocument/2006/relationships/hyperlink" Id="rId21"/>
    <Relationship TargetMode="External" Target="https://www.legis.iowa.gov/docs/iac/rule/761.601.4.pdf" Type="http://schemas.openxmlformats.org/officeDocument/2006/relationships/hyperlink" Id="rId22"/>
    <Relationship TargetMode="External" Target="https://www.legis.iowa.gov/docs/iac/rule/761.601.4.pdf" Type="http://schemas.openxmlformats.org/officeDocument/2006/relationships/hyperlink" Id="rId23"/>
    <Relationship TargetMode="External" Target="https://www.legis.iowa.gov/docs/ico/chapter/321.183A.pdf" Type="http://schemas.openxmlformats.org/officeDocument/2006/relationships/hyperlink" Id="rId24"/>
    <Relationship TargetMode="External" Target="https://www.legis.iowa.gov/docs/iac/rule/761.601.4.pdf" Type="http://schemas.openxmlformats.org/officeDocument/2006/relationships/hyperlink" Id="rId25"/>
    <Relationship TargetMode="External" Target="https://www.legis.iowa.gov/docs/ico/chapter/321.183A.pdf" Type="http://schemas.openxmlformats.org/officeDocument/2006/relationships/hyperlink" Id="rId26"/>
    <Relationship TargetMode="External" Target="https://www.legis.iowa.gov/docs/iac/rule/761.601.4.pdf" Type="http://schemas.openxmlformats.org/officeDocument/2006/relationships/hyperlink" Id="rId27"/>
    <Relationship TargetMode="External" Target="https://www.legis.iowa.gov/docs/ico/chapter/321.183A.pdf" Type="http://schemas.openxmlformats.org/officeDocument/2006/relationships/hyperlink" Id="rId28"/>
    <Relationship TargetMode="External" Target="https://www.legis.iowa.gov/docs/iac/rule/761.601.4.pdf" Type="http://schemas.openxmlformats.org/officeDocument/2006/relationships/hyperlink" Id="rId29"/>
    <Relationship TargetMode="External" Target="https://www.legis.iowa.gov/docs/iac/rule/761.601.5.pdf" Type="http://schemas.openxmlformats.org/officeDocument/2006/relationships/hyperlink" Id="rId30"/>
    <Relationship TargetMode="External" Target="https://www.legis.iowa.gov/docs/ico/chapter/307.12.pdf" Type="http://schemas.openxmlformats.org/officeDocument/2006/relationships/hyperlink" Id="rId31"/>
    <Relationship TargetMode="External" Target="https://www.legis.iowa.gov/docs/ico/chapter/321.13.pdf" Type="http://schemas.openxmlformats.org/officeDocument/2006/relationships/hyperlink" Id="rId32"/>
    <Relationship TargetMode="External" Target="https://www.legis.iowa.gov/docs/ico/chapter/321.182.pdf" Type="http://schemas.openxmlformats.org/officeDocument/2006/relationships/hyperlink" Id="rId33"/>
    <Relationship TargetMode="External" Target="https://www.legis.iowa.gov/docs/ico/chapter/321.183A.pdf" Type="http://schemas.openxmlformats.org/officeDocument/2006/relationships/hyperlink" Id="rId34"/>
    <Relationship TargetMode="External" Target="https://www.legis.iowa.gov/docs/ico/chapter/321.189.pdf" Type="http://schemas.openxmlformats.org/officeDocument/2006/relationships/hyperlink" Id="rId35"/>
    <Relationship TargetMode="External" Target="https://www.legis.iowa.gov/docs/ico/chapter/321.190.pdf" Type="http://schemas.openxmlformats.org/officeDocument/2006/relationships/hyperlink" Id="rId36"/>
    <Relationship TargetMode="External" Target="https://www.legis.iowa.gov/docs/iac/rule/761.601.1.pdf" Type="http://schemas.openxmlformats.org/officeDocument/2006/relationships/hyperlink" Id="rId37"/>
    <Relationship TargetMode="External" Target="https://www.legis.iowa.gov/docs/ico/chapter/321.pdf" Type="http://schemas.openxmlformats.org/officeDocument/2006/relationships/hyperlink" Id="rId38"/>
    <Relationship Target="footer.xml" Type="http://schemas.openxmlformats.org/officeDocument/2006/relationships/footer" Id="rId3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